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AD5838" w14:paraId="5B839E85" w14:textId="77777777">
        <w:tc>
          <w:tcPr>
            <w:tcW w:w="9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4743" w14:textId="77777777" w:rsidR="00AD5838" w:rsidRDefault="00EE2C9C">
            <w:pPr>
              <w:pStyle w:val="Standard"/>
              <w:spacing w:after="0" w:line="240" w:lineRule="auto"/>
              <w:jc w:val="center"/>
              <w:rPr>
                <w:rFonts w:ascii="Roboto" w:hAnsi="Roboto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28EA190" wp14:editId="74D8F530">
                  <wp:simplePos x="0" y="0"/>
                  <wp:positionH relativeFrom="column">
                    <wp:posOffset>0</wp:posOffset>
                  </wp:positionH>
                  <wp:positionV relativeFrom="page">
                    <wp:posOffset>0</wp:posOffset>
                  </wp:positionV>
                  <wp:extent cx="1150920" cy="698759"/>
                  <wp:effectExtent l="0" t="0" r="0" b="6091"/>
                  <wp:wrapSquare wrapText="bothSides"/>
                  <wp:docPr id="134460684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t="11498" b="244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920" cy="698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Roboto" w:hAnsi="Roboto"/>
                <w:b/>
                <w:bCs/>
                <w:color w:val="FFFFFF"/>
                <w:sz w:val="36"/>
                <w:szCs w:val="36"/>
              </w:rPr>
              <w:t>Territoires en transition : enjeux, acteurs, concertation</w:t>
            </w:r>
          </w:p>
          <w:p w14:paraId="0CACC80F" w14:textId="77777777" w:rsidR="00AD5838" w:rsidRDefault="00EE2C9C">
            <w:pPr>
              <w:pStyle w:val="Standard"/>
              <w:spacing w:after="0" w:line="240" w:lineRule="auto"/>
              <w:jc w:val="center"/>
            </w:pPr>
            <w:r>
              <w:rPr>
                <w:b/>
                <w:bCs/>
                <w:color w:val="FFFFFF"/>
                <w:sz w:val="36"/>
                <w:szCs w:val="36"/>
              </w:rPr>
              <w:t>12h CM 12 TD</w:t>
            </w:r>
          </w:p>
        </w:tc>
      </w:tr>
      <w:tr w:rsidR="00AD5838" w14:paraId="493AF9EC" w14:textId="77777777">
        <w:tc>
          <w:tcPr>
            <w:tcW w:w="9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418F" w14:textId="3FFCA6F6" w:rsidR="00AD5838" w:rsidRDefault="00EE2C9C">
            <w:pPr>
              <w:pStyle w:val="Standard"/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sz w:val="32"/>
                <w:szCs w:val="32"/>
              </w:rPr>
              <w:t>E</w:t>
            </w:r>
            <w:r w:rsidR="00E0674E">
              <w:rPr>
                <w:b/>
                <w:bCs/>
                <w:sz w:val="32"/>
                <w:szCs w:val="32"/>
              </w:rPr>
              <w:t>nseignant.e.s-Chercheur.e.s</w:t>
            </w:r>
            <w:proofErr w:type="spellEnd"/>
          </w:p>
          <w:p w14:paraId="3E9104B5" w14:textId="2107979C" w:rsidR="00AD5838" w:rsidRDefault="00EE2C9C">
            <w:pPr>
              <w:pStyle w:val="Standard"/>
              <w:spacing w:after="0" w:line="240" w:lineRule="auto"/>
              <w:rPr>
                <w:rFonts w:ascii="Roboto" w:hAnsi="Roboto"/>
              </w:rPr>
            </w:pPr>
            <w:r>
              <w:rPr>
                <w:rFonts w:ascii="Roboto" w:hAnsi="Roboto"/>
                <w:b/>
                <w:color w:val="0070C0"/>
              </w:rPr>
              <w:t>Muriel Maillefert</w:t>
            </w:r>
            <w:r>
              <w:rPr>
                <w:rFonts w:ascii="Roboto" w:hAnsi="Roboto"/>
                <w:b/>
                <w:color w:val="000000"/>
              </w:rPr>
              <w:t>,</w:t>
            </w:r>
            <w:r>
              <w:rPr>
                <w:rFonts w:ascii="Roboto" w:hAnsi="Roboto"/>
                <w:color w:val="000000"/>
              </w:rPr>
              <w:t xml:space="preserve"> P</w:t>
            </w:r>
            <w:r w:rsidR="00121E81">
              <w:rPr>
                <w:rFonts w:ascii="Roboto" w:hAnsi="Roboto"/>
                <w:color w:val="000000"/>
              </w:rPr>
              <w:t>rofesseure en aménagement</w:t>
            </w:r>
            <w:r w:rsidR="00BA1BA4">
              <w:rPr>
                <w:rFonts w:ascii="Roboto" w:hAnsi="Roboto"/>
                <w:color w:val="000000"/>
              </w:rPr>
              <w:t>,</w:t>
            </w:r>
            <w:r w:rsidR="00121E81">
              <w:rPr>
                <w:rFonts w:ascii="Roboto" w:hAnsi="Roboto"/>
                <w:color w:val="000000"/>
              </w:rPr>
              <w:t xml:space="preserve"> département ASTRE</w:t>
            </w:r>
          </w:p>
          <w:p w14:paraId="5C6E73F6" w14:textId="4FDB5728" w:rsidR="00AD5838" w:rsidRDefault="00EE2C9C">
            <w:pPr>
              <w:pStyle w:val="Standard"/>
              <w:spacing w:after="0" w:line="240" w:lineRule="auto"/>
              <w:rPr>
                <w:rFonts w:ascii="Roboto" w:hAnsi="Roboto"/>
              </w:rPr>
            </w:pPr>
            <w:r>
              <w:rPr>
                <w:rFonts w:ascii="Roboto" w:hAnsi="Roboto"/>
                <w:b/>
                <w:color w:val="0070C0"/>
              </w:rPr>
              <w:t>Valentin Aubois-</w:t>
            </w:r>
            <w:proofErr w:type="spellStart"/>
            <w:r>
              <w:rPr>
                <w:rFonts w:ascii="Roboto" w:hAnsi="Roboto"/>
                <w:b/>
                <w:color w:val="0070C0"/>
              </w:rPr>
              <w:t>Liogier</w:t>
            </w:r>
            <w:proofErr w:type="spellEnd"/>
            <w:r>
              <w:rPr>
                <w:rFonts w:ascii="Roboto" w:hAnsi="Roboto"/>
              </w:rPr>
              <w:t>, Doctorant vacataire</w:t>
            </w:r>
            <w:r w:rsidR="00BA1BA4">
              <w:rPr>
                <w:rFonts w:ascii="Roboto" w:hAnsi="Roboto"/>
              </w:rPr>
              <w:t>, université de Tours</w:t>
            </w:r>
          </w:p>
          <w:p w14:paraId="146386E7" w14:textId="77777777" w:rsidR="00AD5838" w:rsidRDefault="00AD5838">
            <w:pPr>
              <w:pStyle w:val="Standard"/>
              <w:spacing w:after="0" w:line="240" w:lineRule="auto"/>
              <w:rPr>
                <w:b/>
                <w:bCs/>
              </w:rPr>
            </w:pPr>
          </w:p>
        </w:tc>
      </w:tr>
      <w:tr w:rsidR="00AD5838" w14:paraId="753356B2" w14:textId="77777777">
        <w:tc>
          <w:tcPr>
            <w:tcW w:w="9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2C0CD" w14:textId="77777777" w:rsidR="00AD5838" w:rsidRDefault="00EE2C9C">
            <w:pPr>
              <w:pStyle w:val="Standard"/>
              <w:spacing w:after="0" w:line="240" w:lineRule="auto"/>
              <w:jc w:val="center"/>
            </w:pPr>
            <w:r>
              <w:rPr>
                <w:b/>
                <w:bCs/>
                <w:sz w:val="32"/>
                <w:szCs w:val="32"/>
              </w:rPr>
              <w:t xml:space="preserve">Descriptif général </w:t>
            </w:r>
            <w:r>
              <w:rPr>
                <w:b/>
                <w:bCs/>
                <w:sz w:val="32"/>
                <w:szCs w:val="32"/>
              </w:rPr>
              <w:t>(objectifs pédagogiques)</w:t>
            </w:r>
          </w:p>
          <w:p w14:paraId="76FB7227" w14:textId="77777777" w:rsidR="00AD5838" w:rsidRDefault="00AD5838">
            <w:pPr>
              <w:pStyle w:val="Standard"/>
              <w:spacing w:after="0" w:line="240" w:lineRule="auto"/>
              <w:jc w:val="center"/>
            </w:pPr>
          </w:p>
          <w:p w14:paraId="3F84D986" w14:textId="77777777" w:rsidR="00121E81" w:rsidRDefault="00121E81">
            <w:pPr>
              <w:pStyle w:val="Standard"/>
              <w:spacing w:after="0" w:line="276" w:lineRule="auto"/>
              <w:rPr>
                <w:rFonts w:ascii="Roboto" w:hAnsi="Roboto"/>
              </w:rPr>
            </w:pPr>
            <w:r>
              <w:rPr>
                <w:rFonts w:ascii="Roboto" w:hAnsi="Roboto"/>
              </w:rPr>
              <w:t xml:space="preserve">Le cours vise à donner aux étudiants des méthodologies pour analyser des projets de transition. </w:t>
            </w:r>
          </w:p>
          <w:p w14:paraId="275741C6" w14:textId="71CF64B4" w:rsidR="00AD5838" w:rsidRDefault="00EE2C9C">
            <w:pPr>
              <w:pStyle w:val="Standard"/>
              <w:spacing w:after="0" w:line="276" w:lineRule="auto"/>
              <w:rPr>
                <w:rFonts w:ascii="Roboto" w:hAnsi="Roboto"/>
              </w:rPr>
            </w:pPr>
            <w:r>
              <w:rPr>
                <w:rFonts w:ascii="Roboto" w:hAnsi="Roboto"/>
              </w:rPr>
              <w:t>L</w:t>
            </w:r>
            <w:r w:rsidR="00121E81">
              <w:rPr>
                <w:rFonts w:ascii="Roboto" w:hAnsi="Roboto"/>
              </w:rPr>
              <w:t xml:space="preserve">e cadre de réflexion de cette année s’appuie sur </w:t>
            </w:r>
            <w:r>
              <w:rPr>
                <w:rFonts w:ascii="Roboto" w:hAnsi="Roboto"/>
              </w:rPr>
              <w:t>le projet Lyon 2030 de la municipalité lyonnaise</w:t>
            </w:r>
            <w:r w:rsidR="00121E81">
              <w:rPr>
                <w:rFonts w:ascii="Roboto" w:hAnsi="Roboto"/>
              </w:rPr>
              <w:t>. Il</w:t>
            </w:r>
            <w:r>
              <w:rPr>
                <w:rFonts w:ascii="Roboto" w:hAnsi="Roboto"/>
              </w:rPr>
              <w:t xml:space="preserve"> vise la neutralité carbone à l'horizon 2030, et plus particulièrement sur l'Agora Lyon 2030. Le projet est repris pour envisager (ou poursuivre) la transition écologique à l'Université Lyon 3.</w:t>
            </w:r>
            <w:r w:rsidR="00121E81">
              <w:rPr>
                <w:rFonts w:ascii="Roboto" w:hAnsi="Roboto"/>
              </w:rPr>
              <w:t xml:space="preserve"> Il s’agit particulièrement de s’approprier la méthodologie du projet (méthodes des récits) et de proposer un projet autonome à partir de ce cadre.</w:t>
            </w:r>
          </w:p>
          <w:p w14:paraId="5983094B" w14:textId="77777777" w:rsidR="00AD5838" w:rsidRDefault="00AD5838">
            <w:pPr>
              <w:pStyle w:val="Standard"/>
              <w:spacing w:after="0" w:line="276" w:lineRule="auto"/>
              <w:rPr>
                <w:rFonts w:ascii="Roboto" w:hAnsi="Roboto"/>
              </w:rPr>
            </w:pPr>
          </w:p>
          <w:p w14:paraId="13085D36" w14:textId="77777777" w:rsidR="00AD5838" w:rsidRDefault="00EE2C9C">
            <w:pPr>
              <w:pStyle w:val="Standard"/>
              <w:spacing w:after="0" w:line="276" w:lineRule="auto"/>
              <w:rPr>
                <w:rFonts w:ascii="Roboto" w:hAnsi="Roboto"/>
              </w:rPr>
            </w:pPr>
            <w:r>
              <w:rPr>
                <w:rFonts w:ascii="Roboto" w:hAnsi="Roboto"/>
              </w:rPr>
              <w:t>Le TD s'organise comme suit :</w:t>
            </w:r>
          </w:p>
          <w:p w14:paraId="42ECA7B9" w14:textId="77777777" w:rsidR="00AD5838" w:rsidRDefault="00EE2C9C">
            <w:pPr>
              <w:pStyle w:val="Standard"/>
              <w:spacing w:after="0" w:line="276" w:lineRule="auto"/>
              <w:rPr>
                <w:rFonts w:ascii="Roboto" w:hAnsi="Roboto"/>
              </w:rPr>
            </w:pPr>
            <w:r>
              <w:rPr>
                <w:rFonts w:ascii="Roboto" w:hAnsi="Roboto"/>
              </w:rPr>
              <w:t xml:space="preserve">Par groupe de 4 ou 5 </w:t>
            </w:r>
            <w:proofErr w:type="spellStart"/>
            <w:proofErr w:type="gramStart"/>
            <w:r>
              <w:rPr>
                <w:rFonts w:ascii="Roboto" w:hAnsi="Roboto"/>
              </w:rPr>
              <w:t>étudiant</w:t>
            </w:r>
            <w:proofErr w:type="gramEnd"/>
            <w:r>
              <w:rPr>
                <w:rFonts w:ascii="Roboto" w:hAnsi="Roboto"/>
              </w:rPr>
              <w:t>·es</w:t>
            </w:r>
            <w:proofErr w:type="spellEnd"/>
            <w:r>
              <w:rPr>
                <w:rFonts w:ascii="Roboto" w:hAnsi="Roboto"/>
              </w:rPr>
              <w:t xml:space="preserve"> (par groupe TD) :</w:t>
            </w:r>
          </w:p>
          <w:p w14:paraId="0BEB4C83" w14:textId="77777777" w:rsidR="00AD5838" w:rsidRDefault="00EE2C9C">
            <w:pPr>
              <w:pStyle w:val="Standard"/>
              <w:numPr>
                <w:ilvl w:val="0"/>
                <w:numId w:val="16"/>
              </w:numPr>
              <w:spacing w:after="0" w:line="276" w:lineRule="auto"/>
              <w:rPr>
                <w:rFonts w:ascii="Roboto" w:hAnsi="Roboto"/>
              </w:rPr>
            </w:pPr>
            <w:r>
              <w:rPr>
                <w:rFonts w:ascii="Roboto" w:hAnsi="Roboto"/>
                <w:b/>
                <w:bCs/>
              </w:rPr>
              <w:t>Analyser</w:t>
            </w:r>
            <w:r>
              <w:rPr>
                <w:rFonts w:ascii="Roboto" w:hAnsi="Roboto"/>
              </w:rPr>
              <w:t xml:space="preserve"> </w:t>
            </w:r>
            <w:r>
              <w:rPr>
                <w:rFonts w:ascii="Roboto" w:hAnsi="Roboto"/>
                <w:b/>
                <w:bCs/>
              </w:rPr>
              <w:t>les objectifs, la méthodologie des récits et les résultats</w:t>
            </w:r>
            <w:r>
              <w:rPr>
                <w:rFonts w:ascii="Roboto" w:hAnsi="Roboto"/>
              </w:rPr>
              <w:t xml:space="preserve"> de l'</w:t>
            </w:r>
            <w:r>
              <w:rPr>
                <w:rFonts w:ascii="Roboto" w:hAnsi="Roboto"/>
                <w:b/>
                <w:bCs/>
              </w:rPr>
              <w:t xml:space="preserve">Agora Lyon </w:t>
            </w:r>
            <w:r>
              <w:rPr>
                <w:rFonts w:ascii="Roboto" w:hAnsi="Roboto"/>
                <w:b/>
                <w:bCs/>
              </w:rPr>
              <w:t>2030</w:t>
            </w:r>
            <w:r>
              <w:rPr>
                <w:rFonts w:ascii="Roboto" w:hAnsi="Roboto"/>
              </w:rPr>
              <w:t xml:space="preserve"> jusqu'à aujourd'hui.</w:t>
            </w:r>
          </w:p>
          <w:p w14:paraId="5CE2EB12" w14:textId="77777777" w:rsidR="00AD5838" w:rsidRDefault="00EE2C9C">
            <w:pPr>
              <w:pStyle w:val="Standard"/>
              <w:numPr>
                <w:ilvl w:val="0"/>
                <w:numId w:val="16"/>
              </w:numPr>
              <w:spacing w:after="0" w:line="276" w:lineRule="auto"/>
              <w:rPr>
                <w:rFonts w:ascii="Roboto" w:hAnsi="Roboto"/>
              </w:rPr>
            </w:pPr>
            <w:r>
              <w:rPr>
                <w:rFonts w:ascii="Roboto" w:hAnsi="Roboto"/>
                <w:b/>
                <w:bCs/>
              </w:rPr>
              <w:t>Adapter ces moyens pour penser la transition à l'Université de Lyon 3 autour d'une</w:t>
            </w:r>
            <w:r>
              <w:rPr>
                <w:rFonts w:ascii="Roboto" w:hAnsi="Roboto"/>
              </w:rPr>
              <w:t xml:space="preserve"> </w:t>
            </w:r>
            <w:r>
              <w:rPr>
                <w:rFonts w:ascii="Roboto" w:hAnsi="Roboto"/>
                <w:b/>
                <w:bCs/>
              </w:rPr>
              <w:t xml:space="preserve">thématique écologique </w:t>
            </w:r>
            <w:r>
              <w:rPr>
                <w:rFonts w:ascii="Roboto" w:hAnsi="Roboto"/>
              </w:rPr>
              <w:t>qui peut différer de la neutralité carbone.</w:t>
            </w:r>
          </w:p>
          <w:p w14:paraId="0860F533" w14:textId="77777777" w:rsidR="00AD5838" w:rsidRDefault="00EE2C9C">
            <w:pPr>
              <w:pStyle w:val="Standard"/>
              <w:spacing w:after="0" w:line="276" w:lineRule="auto"/>
              <w:rPr>
                <w:rFonts w:ascii="Roboto" w:hAnsi="Roboto"/>
              </w:rPr>
            </w:pPr>
            <w:r>
              <w:rPr>
                <w:rFonts w:ascii="Roboto" w:hAnsi="Roboto"/>
              </w:rPr>
              <w:t>Par table de travail (promotion entière) :</w:t>
            </w:r>
          </w:p>
          <w:p w14:paraId="0AAB48F9" w14:textId="77777777" w:rsidR="00AD5838" w:rsidRDefault="00EE2C9C">
            <w:pPr>
              <w:pStyle w:val="Standard"/>
              <w:numPr>
                <w:ilvl w:val="0"/>
                <w:numId w:val="16"/>
              </w:numPr>
              <w:spacing w:after="0" w:line="276" w:lineRule="auto"/>
              <w:rPr>
                <w:rFonts w:ascii="Roboto" w:hAnsi="Roboto"/>
                <w:b/>
                <w:bCs/>
              </w:rPr>
            </w:pPr>
            <w:r>
              <w:rPr>
                <w:rFonts w:ascii="Roboto" w:hAnsi="Roboto"/>
                <w:b/>
                <w:bCs/>
              </w:rPr>
              <w:t>Temps « Agora » : mettre en discussion</w:t>
            </w:r>
            <w:r>
              <w:rPr>
                <w:rFonts w:ascii="Roboto" w:hAnsi="Roboto"/>
                <w:b/>
                <w:bCs/>
              </w:rPr>
              <w:t xml:space="preserve"> les récits pour un produire un commun</w:t>
            </w:r>
          </w:p>
          <w:p w14:paraId="681B28B5" w14:textId="77777777" w:rsidR="00AD5838" w:rsidRDefault="00AD5838">
            <w:pPr>
              <w:pStyle w:val="Standard"/>
              <w:spacing w:after="0" w:line="276" w:lineRule="auto"/>
              <w:rPr>
                <w:rFonts w:ascii="Roboto" w:hAnsi="Roboto"/>
                <w:b/>
                <w:bCs/>
              </w:rPr>
            </w:pPr>
          </w:p>
          <w:p w14:paraId="74F5A70E" w14:textId="77777777" w:rsidR="00AD5838" w:rsidRDefault="00EE2C9C">
            <w:pPr>
              <w:pStyle w:val="Standard"/>
              <w:spacing w:after="0" w:line="276" w:lineRule="auto"/>
              <w:rPr>
                <w:rFonts w:ascii="Roboto" w:hAnsi="Roboto"/>
              </w:rPr>
            </w:pPr>
            <w:r>
              <w:rPr>
                <w:rFonts w:ascii="Roboto" w:hAnsi="Roboto"/>
              </w:rPr>
              <w:t>Les CM viennent compléter de manière thématique les connaissances et la compréhension des enjeux relatifs à l'exercice du TD (Développement durable, Design des politiques publiques …).</w:t>
            </w:r>
          </w:p>
          <w:p w14:paraId="0F16B53B" w14:textId="77777777" w:rsidR="00AD5838" w:rsidRDefault="00AD5838">
            <w:pPr>
              <w:pStyle w:val="Standard"/>
              <w:spacing w:after="0" w:line="240" w:lineRule="auto"/>
              <w:rPr>
                <w:rFonts w:eastAsia="Times New Roman"/>
                <w:sz w:val="20"/>
                <w:szCs w:val="20"/>
                <w:lang w:eastAsia="fr-FR"/>
              </w:rPr>
            </w:pPr>
          </w:p>
        </w:tc>
      </w:tr>
      <w:tr w:rsidR="00AD5838" w14:paraId="5365FFFC" w14:textId="77777777">
        <w:tc>
          <w:tcPr>
            <w:tcW w:w="9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E8B1" w14:textId="77777777" w:rsidR="00AD5838" w:rsidRDefault="00EE2C9C">
            <w:pPr>
              <w:pStyle w:val="Standard"/>
              <w:spacing w:after="0" w:line="240" w:lineRule="auto"/>
            </w:pPr>
            <w:r>
              <w:rPr>
                <w:b/>
                <w:bCs/>
              </w:rPr>
              <w:t>MODALITES DE CONTROLE DES CON</w:t>
            </w:r>
            <w:r>
              <w:rPr>
                <w:b/>
                <w:bCs/>
              </w:rPr>
              <w:t>NAISSANCES</w:t>
            </w:r>
          </w:p>
          <w:p w14:paraId="7198BC38" w14:textId="77777777" w:rsidR="00AD5838" w:rsidRDefault="00EE2C9C">
            <w:pPr>
              <w:pStyle w:val="Standard"/>
              <w:numPr>
                <w:ilvl w:val="0"/>
                <w:numId w:val="17"/>
              </w:numPr>
            </w:pPr>
            <w:r>
              <w:rPr>
                <w:rFonts w:ascii="Roboto" w:hAnsi="Roboto"/>
                <w:color w:val="000000"/>
                <w:u w:val="single"/>
              </w:rPr>
              <w:t>Par sous-groupe TD :</w:t>
            </w:r>
            <w:r>
              <w:rPr>
                <w:rFonts w:ascii="Roboto" w:hAnsi="Roboto"/>
                <w:color w:val="000000"/>
              </w:rPr>
              <w:t xml:space="preserve"> </w:t>
            </w:r>
            <w:r>
              <w:rPr>
                <w:rFonts w:ascii="Roboto" w:hAnsi="Roboto"/>
                <w:b/>
                <w:bCs/>
                <w:color w:val="000000"/>
              </w:rPr>
              <w:t>Document de présentation</w:t>
            </w:r>
            <w:r>
              <w:rPr>
                <w:rFonts w:ascii="Roboto" w:hAnsi="Roboto"/>
                <w:color w:val="000000"/>
              </w:rPr>
              <w:t xml:space="preserve"> type PowerPoint (format PDF) explicitant l'analyse thématique &amp; l'action envisagée (avec les récits/visuels)</w:t>
            </w:r>
          </w:p>
          <w:p w14:paraId="0B799C18" w14:textId="77777777" w:rsidR="00AD5838" w:rsidRDefault="00EE2C9C">
            <w:pPr>
              <w:pStyle w:val="Standard"/>
              <w:numPr>
                <w:ilvl w:val="0"/>
                <w:numId w:val="1"/>
              </w:numPr>
            </w:pPr>
            <w:r>
              <w:rPr>
                <w:rFonts w:ascii="Roboto" w:hAnsi="Roboto"/>
                <w:color w:val="000000"/>
                <w:u w:val="single"/>
              </w:rPr>
              <w:t>Par table de travail (groupes TD croisés) :</w:t>
            </w:r>
            <w:r>
              <w:rPr>
                <w:rFonts w:ascii="Roboto" w:hAnsi="Roboto"/>
                <w:color w:val="000000"/>
              </w:rPr>
              <w:t xml:space="preserve"> </w:t>
            </w:r>
            <w:r>
              <w:rPr>
                <w:rFonts w:ascii="Roboto" w:hAnsi="Roboto"/>
                <w:b/>
                <w:bCs/>
                <w:color w:val="000000"/>
              </w:rPr>
              <w:t>Présentation orale de restitution</w:t>
            </w:r>
            <w:r>
              <w:rPr>
                <w:rFonts w:ascii="Roboto" w:hAnsi="Roboto"/>
                <w:color w:val="000000"/>
              </w:rPr>
              <w:t xml:space="preserve"> du récit commun écrit lors du temps Agora</w:t>
            </w:r>
          </w:p>
        </w:tc>
      </w:tr>
      <w:tr w:rsidR="00AD5838" w14:paraId="6148B9AA" w14:textId="77777777">
        <w:tc>
          <w:tcPr>
            <w:tcW w:w="9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5A64" w14:textId="77777777" w:rsidR="00AD5838" w:rsidRDefault="00EE2C9C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Bibliographie indicative :</w:t>
            </w:r>
          </w:p>
          <w:p w14:paraId="1C882EC4" w14:textId="01CF5E23" w:rsidR="00056E74" w:rsidRPr="00056E74" w:rsidRDefault="00056E74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r>
              <w:t>A</w:t>
            </w:r>
            <w:r w:rsidRPr="00056E74">
              <w:t xml:space="preserve">urez V, </w:t>
            </w:r>
            <w:proofErr w:type="spellStart"/>
            <w:r w:rsidRPr="00056E74">
              <w:t>Georgeault</w:t>
            </w:r>
            <w:proofErr w:type="spellEnd"/>
            <w:r w:rsidRPr="00056E74">
              <w:t xml:space="preserve"> L, 2016</w:t>
            </w:r>
            <w:r w:rsidRPr="00056E74">
              <w:rPr>
                <w:b/>
                <w:bCs/>
              </w:rPr>
              <w:t xml:space="preserve">, Economie circulaire, </w:t>
            </w:r>
            <w:r w:rsidRPr="00056E74">
              <w:t>De Boeck</w:t>
            </w:r>
          </w:p>
          <w:p w14:paraId="2F76C6E2" w14:textId="77777777" w:rsidR="00056E74" w:rsidRPr="00056E74" w:rsidRDefault="00056E74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r w:rsidRPr="00056E74">
              <w:t xml:space="preserve">Barles S., </w:t>
            </w:r>
            <w:proofErr w:type="spellStart"/>
            <w:r w:rsidRPr="00056E74">
              <w:t>Bahers</w:t>
            </w:r>
            <w:proofErr w:type="spellEnd"/>
            <w:r w:rsidRPr="00056E74">
              <w:t xml:space="preserve"> J.B., 2019, Transition ou consolidation du régime dominant : le métabolisme urbain en question. Flux, 116-117(2-3), 1-5. </w:t>
            </w:r>
            <w:hyperlink r:id="rId8" w:history="1">
              <w:r w:rsidRPr="00056E74">
                <w:rPr>
                  <w:rStyle w:val="Lienhypertexte"/>
                </w:rPr>
                <w:t>https://doi.org/10.3917/flux1.116.0001</w:t>
              </w:r>
            </w:hyperlink>
            <w:r w:rsidRPr="00056E74">
              <w:t xml:space="preserve">. </w:t>
            </w:r>
          </w:p>
          <w:p w14:paraId="50899235" w14:textId="77777777" w:rsidR="00056E74" w:rsidRPr="00056E74" w:rsidRDefault="00056E74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r w:rsidRPr="00056E74">
              <w:lastRenderedPageBreak/>
              <w:t xml:space="preserve">Bourg D., </w:t>
            </w:r>
            <w:proofErr w:type="spellStart"/>
            <w:r w:rsidRPr="00056E74">
              <w:t>Buclet</w:t>
            </w:r>
            <w:proofErr w:type="spellEnd"/>
            <w:r w:rsidRPr="00056E74">
              <w:t xml:space="preserve"> N., 2005, « L'économie de fonctionnalité : changer la consommation dans le sens du développement durable », </w:t>
            </w:r>
            <w:r w:rsidRPr="00056E74">
              <w:rPr>
                <w:i/>
                <w:iCs/>
              </w:rPr>
              <w:t>Futuribles</w:t>
            </w:r>
            <w:r w:rsidRPr="00056E74">
              <w:t>, n 313, p. 27-37.DOI : </w:t>
            </w:r>
            <w:hyperlink r:id="rId9" w:history="1">
              <w:r w:rsidRPr="00056E74">
                <w:rPr>
                  <w:rStyle w:val="Lienhypertexte"/>
                </w:rPr>
                <w:t>10.1051/futur:200531327</w:t>
              </w:r>
            </w:hyperlink>
          </w:p>
          <w:p w14:paraId="42A7AA3A" w14:textId="77777777" w:rsidR="00056E74" w:rsidRPr="00056E74" w:rsidRDefault="00056E74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proofErr w:type="spellStart"/>
            <w:r w:rsidRPr="00056E74">
              <w:t>Buclet</w:t>
            </w:r>
            <w:proofErr w:type="spellEnd"/>
            <w:r w:rsidRPr="00056E74">
              <w:t xml:space="preserve"> N. 2014, « L’économie de fonctionnalité entre éco-conception et territoire : une typologie », </w:t>
            </w:r>
            <w:r w:rsidRPr="00056E74">
              <w:rPr>
                <w:i/>
                <w:iCs/>
              </w:rPr>
              <w:t>Développement durable et territoires</w:t>
            </w:r>
            <w:r w:rsidRPr="00056E74">
              <w:t xml:space="preserve">, Vol. 5, n°1 | Février 2014, DOI : </w:t>
            </w:r>
            <w:hyperlink r:id="rId10" w:history="1">
              <w:r w:rsidRPr="00056E74">
                <w:rPr>
                  <w:rStyle w:val="Lienhypertexte"/>
                </w:rPr>
                <w:t>https://doi.org/10.4000/developpementdurable.10134</w:t>
              </w:r>
            </w:hyperlink>
            <w:r w:rsidRPr="00056E74">
              <w:t>.</w:t>
            </w:r>
          </w:p>
          <w:p w14:paraId="353A4DBC" w14:textId="77777777" w:rsidR="00056E74" w:rsidRPr="00056E74" w:rsidRDefault="00056E74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r w:rsidRPr="00056E74">
              <w:t xml:space="preserve">Diemer Arnaud, Catherine Figuière et </w:t>
            </w:r>
            <w:proofErr w:type="spellStart"/>
            <w:r w:rsidRPr="00056E74">
              <w:t>Marilys</w:t>
            </w:r>
            <w:proofErr w:type="spellEnd"/>
            <w:r w:rsidRPr="00056E74">
              <w:t xml:space="preserve"> Pradel (</w:t>
            </w:r>
            <w:proofErr w:type="spellStart"/>
            <w:r w:rsidRPr="00056E74">
              <w:t>dir</w:t>
            </w:r>
            <w:proofErr w:type="spellEnd"/>
            <w:r w:rsidRPr="00056E74">
              <w:t>.), 2013, Écologie politique vs écologie industrielle : quelles stratégies pour le développement durable ?,</w:t>
            </w:r>
            <w:r w:rsidRPr="00056E74">
              <w:rPr>
                <w:b/>
                <w:bCs/>
              </w:rPr>
              <w:t xml:space="preserve"> </w:t>
            </w:r>
            <w:r w:rsidRPr="00056E74">
              <w:t xml:space="preserve">Clermont-Ferrand, </w:t>
            </w:r>
            <w:proofErr w:type="spellStart"/>
            <w:r w:rsidRPr="00056E74">
              <w:t>Oeconomia</w:t>
            </w:r>
            <w:proofErr w:type="spellEnd"/>
            <w:r w:rsidRPr="00056E74">
              <w:t xml:space="preserve"> </w:t>
            </w:r>
          </w:p>
          <w:p w14:paraId="3C6818FB" w14:textId="77777777" w:rsidR="00056E74" w:rsidRPr="00056E74" w:rsidRDefault="00056E74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r w:rsidRPr="00056E74">
              <w:t xml:space="preserve">Lejeune C., </w:t>
            </w:r>
            <w:proofErr w:type="spellStart"/>
            <w:r w:rsidRPr="00056E74">
              <w:t>Villalba</w:t>
            </w:r>
            <w:proofErr w:type="spellEnd"/>
            <w:r w:rsidRPr="00056E74">
              <w:t xml:space="preserve"> B., 2015, La justification durable comme extension du productivisme, in </w:t>
            </w:r>
            <w:proofErr w:type="spellStart"/>
            <w:r w:rsidRPr="00056E74">
              <w:t>Boissonade</w:t>
            </w:r>
            <w:proofErr w:type="spellEnd"/>
            <w:r w:rsidRPr="00056E74">
              <w:t xml:space="preserve"> J., Coord, 2015. La ville durable controversée. Petra, Paris pp 255-285.</w:t>
            </w:r>
          </w:p>
          <w:p w14:paraId="27F31CB3" w14:textId="77777777" w:rsidR="00056E74" w:rsidRDefault="00056E74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r w:rsidRPr="00056E74">
              <w:t>Maillefert M., Robert I., 2017, « Nouveaux modèles économiques et création de valeur territoriale autour de l’économie circulaire, de l’économie de la fonctionnalité et de l’écologie industrielle », </w:t>
            </w:r>
            <w:r w:rsidRPr="00056E74">
              <w:rPr>
                <w:i/>
                <w:iCs/>
              </w:rPr>
              <w:t>Revue d’économie régionale &amp; urbaine</w:t>
            </w:r>
            <w:r w:rsidRPr="00056E74">
              <w:t>, 2017/5, p. 905-934, </w:t>
            </w:r>
            <w:hyperlink r:id="rId11" w:history="1">
              <w:r w:rsidRPr="00056E74">
                <w:rPr>
                  <w:rStyle w:val="Lienhypertexte"/>
                </w:rPr>
                <w:t>https://doi.org/10.3917/reru.175.0905</w:t>
              </w:r>
            </w:hyperlink>
            <w:r w:rsidRPr="00056E74">
              <w:t xml:space="preserve">. </w:t>
            </w:r>
          </w:p>
          <w:p w14:paraId="2CBFA024" w14:textId="77777777" w:rsidR="00056E74" w:rsidRPr="00056E74" w:rsidRDefault="00056E74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r w:rsidRPr="00056E74">
              <w:t xml:space="preserve">OREE, 2015, L’économie circulaire au service de la préservation des ressources et du climat . Une approche flux et filières vers un écosystème territorial. </w:t>
            </w:r>
            <w:hyperlink r:id="rId12" w:history="1">
              <w:r w:rsidRPr="00056E74">
                <w:rPr>
                  <w:rStyle w:val="Lienhypertexte"/>
                </w:rPr>
                <w:t>http://www.oree.org/_script/ntsp-document-file_download.php?document_file_id=3792</w:t>
              </w:r>
            </w:hyperlink>
          </w:p>
          <w:p w14:paraId="4E6F5686" w14:textId="77777777" w:rsidR="00056E74" w:rsidRPr="00056E74" w:rsidRDefault="00056E74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r w:rsidRPr="00056E74">
              <w:t>Roman P.</w:t>
            </w:r>
            <w:r w:rsidRPr="00056E74">
              <w:rPr>
                <w:b/>
                <w:bCs/>
              </w:rPr>
              <w:t xml:space="preserve">, </w:t>
            </w:r>
            <w:proofErr w:type="spellStart"/>
            <w:r w:rsidRPr="00056E74">
              <w:t>Muylaert</w:t>
            </w:r>
            <w:proofErr w:type="spellEnd"/>
            <w:r w:rsidRPr="00056E74">
              <w:t xml:space="preserve"> C.</w:t>
            </w:r>
            <w:r w:rsidRPr="00056E74">
              <w:rPr>
                <w:b/>
                <w:bCs/>
              </w:rPr>
              <w:t xml:space="preserve">, </w:t>
            </w:r>
            <w:proofErr w:type="spellStart"/>
            <w:r w:rsidRPr="00056E74">
              <w:t>Ruwet</w:t>
            </w:r>
            <w:proofErr w:type="spellEnd"/>
            <w:r w:rsidRPr="00056E74">
              <w:t xml:space="preserve"> C.</w:t>
            </w:r>
            <w:r w:rsidRPr="00056E74">
              <w:rPr>
                <w:b/>
                <w:bCs/>
              </w:rPr>
              <w:t xml:space="preserve">, </w:t>
            </w:r>
            <w:r w:rsidRPr="00056E74">
              <w:t>Thiry G., Maréchal K., 2020, « Intégrer la territorialité pour une économie de la fonctionnalité plus soutenable », </w:t>
            </w:r>
            <w:r w:rsidRPr="00056E74">
              <w:rPr>
                <w:i/>
                <w:iCs/>
              </w:rPr>
              <w:t>Développement durable et territoires</w:t>
            </w:r>
            <w:r w:rsidRPr="00056E74">
              <w:t xml:space="preserve">, Vol. 11, n°1 | Avril 2020,; DOI : </w:t>
            </w:r>
            <w:hyperlink r:id="rId13" w:history="1">
              <w:r w:rsidRPr="00056E74">
                <w:rPr>
                  <w:rStyle w:val="Lienhypertexte"/>
                </w:rPr>
                <w:t>https://doi.org/10.4000/developpementdurable.17046</w:t>
              </w:r>
            </w:hyperlink>
          </w:p>
          <w:p w14:paraId="6CF32039" w14:textId="77777777" w:rsidR="00056E74" w:rsidRPr="00056E74" w:rsidRDefault="00056E74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r w:rsidRPr="00056E74">
              <w:t>Theys J, 2014, « Le développement durable face à sa crise : un concept menacé, sous-exploité ou dépassé ? », </w:t>
            </w:r>
            <w:r w:rsidRPr="00056E74">
              <w:rPr>
                <w:i/>
                <w:iCs/>
              </w:rPr>
              <w:t>Développement durable et territoires</w:t>
            </w:r>
            <w:r w:rsidRPr="00056E74">
              <w:t> , Vol. 5, n°1 | Février 2014, DOI : https://doi.org/10.4000/developpementdurable.10196.</w:t>
            </w:r>
          </w:p>
          <w:p w14:paraId="4628230B" w14:textId="121362DD" w:rsidR="00056E74" w:rsidRPr="00056E74" w:rsidRDefault="00056E74" w:rsidP="00056E74">
            <w:pPr>
              <w:pStyle w:val="Standard"/>
              <w:ind w:left="720"/>
              <w:rPr>
                <w:b/>
                <w:bCs/>
                <w:sz w:val="28"/>
                <w:szCs w:val="28"/>
              </w:rPr>
            </w:pPr>
            <w:r w:rsidRPr="00811EDF">
              <w:rPr>
                <w:b/>
                <w:bCs/>
                <w:sz w:val="28"/>
                <w:szCs w:val="28"/>
              </w:rPr>
              <w:t>Sur Lyon 2030</w:t>
            </w:r>
          </w:p>
          <w:p w14:paraId="4092498F" w14:textId="77777777" w:rsidR="00811EDF" w:rsidRPr="00811EDF" w:rsidRDefault="00811EDF" w:rsidP="00811EDF">
            <w:pPr>
              <w:pStyle w:val="Standard"/>
              <w:spacing w:after="120"/>
              <w:ind w:left="714"/>
            </w:pPr>
            <w:r w:rsidRPr="00811EDF">
              <w:t>Site de la Ville de Lyon</w:t>
            </w:r>
          </w:p>
          <w:p w14:paraId="471CC153" w14:textId="77777777" w:rsidR="00811EDF" w:rsidRDefault="00EE2C9C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hyperlink r:id="rId14" w:history="1">
              <w:r w:rsidR="00811EDF" w:rsidRPr="00811EDF">
                <w:t>https://www.lyon.fr/actions-et-projets/lyon-2030/quest-ce-que-lyon-2030</w:t>
              </w:r>
            </w:hyperlink>
          </w:p>
          <w:p w14:paraId="353166D8" w14:textId="77777777" w:rsidR="00811EDF" w:rsidRDefault="00EE2C9C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hyperlink r:id="rId15" w:history="1">
              <w:r w:rsidR="00811EDF" w:rsidRPr="00811EDF">
                <w:t>https://www.lyon.fr/actions-et-projets/lyon-2030/lagora-et-le-pacte-climat-lyon-2030</w:t>
              </w:r>
            </w:hyperlink>
          </w:p>
          <w:p w14:paraId="60D5DA42" w14:textId="77777777" w:rsidR="00811EDF" w:rsidRDefault="00811EDF" w:rsidP="00811EDF">
            <w:pPr>
              <w:pStyle w:val="Standard"/>
              <w:spacing w:after="120"/>
              <w:ind w:left="714"/>
            </w:pPr>
          </w:p>
          <w:p w14:paraId="039D1C87" w14:textId="77777777" w:rsidR="00811EDF" w:rsidRPr="00811EDF" w:rsidRDefault="00811EDF" w:rsidP="00811EDF">
            <w:pPr>
              <w:pStyle w:val="Standard"/>
              <w:spacing w:after="120"/>
              <w:ind w:left="714"/>
            </w:pPr>
            <w:r w:rsidRPr="00811EDF">
              <w:t>Vidéo de présentation de la Ville de Lyon (YouTube)</w:t>
            </w:r>
          </w:p>
          <w:p w14:paraId="0F97E755" w14:textId="4A6D1D21" w:rsidR="00811EDF" w:rsidRPr="00811EDF" w:rsidRDefault="00EE2C9C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hyperlink r:id="rId16" w:history="1">
              <w:r w:rsidR="00811EDF" w:rsidRPr="00811EDF">
                <w:t>https://www.youtube.com/playlist?list=PLk9FoGFwqfo-2zwg7NfYVwfaKP58vO9-Y</w:t>
              </w:r>
            </w:hyperlink>
            <w:r w:rsidR="00811EDF">
              <w:t xml:space="preserve"> </w:t>
            </w:r>
            <w:hyperlink r:id="rId17" w:history="1">
              <w:r w:rsidR="00811EDF" w:rsidRPr="00811EDF">
                <w:t>https://www.youtube.com/watch?v=CUTdUr0IS48&amp;list=PLk9FoGFwqfo-2zwg7NfYVwfaKP58vO9-Y&amp;index=17</w:t>
              </w:r>
            </w:hyperlink>
            <w:r w:rsidR="00811EDF" w:rsidRPr="00811EDF">
              <w:t xml:space="preserve">  (Principe de l'Agora)</w:t>
            </w:r>
          </w:p>
          <w:p w14:paraId="61EF7B40" w14:textId="77777777" w:rsidR="00811EDF" w:rsidRDefault="00811EDF" w:rsidP="00811EDF">
            <w:pPr>
              <w:pStyle w:val="Standard"/>
              <w:spacing w:after="120"/>
              <w:ind w:left="714"/>
            </w:pPr>
          </w:p>
          <w:p w14:paraId="7520F6BD" w14:textId="77777777" w:rsidR="00811EDF" w:rsidRPr="00811EDF" w:rsidRDefault="00811EDF" w:rsidP="0014780E">
            <w:pPr>
              <w:pStyle w:val="Standard"/>
              <w:spacing w:after="120"/>
              <w:ind w:left="714"/>
            </w:pPr>
            <w:r w:rsidRPr="00811EDF">
              <w:t>Pacte Climat 2030 (</w:t>
            </w:r>
            <w:proofErr w:type="spellStart"/>
            <w:r w:rsidRPr="00811EDF">
              <w:t>Pdf</w:t>
            </w:r>
            <w:proofErr w:type="spellEnd"/>
            <w:r w:rsidRPr="00811EDF">
              <w:t>)</w:t>
            </w:r>
          </w:p>
          <w:p w14:paraId="0CA6A866" w14:textId="77777777" w:rsidR="00811EDF" w:rsidRDefault="00EE2C9C" w:rsidP="00811EDF">
            <w:pPr>
              <w:pStyle w:val="Standard"/>
              <w:numPr>
                <w:ilvl w:val="0"/>
                <w:numId w:val="18"/>
              </w:numPr>
              <w:spacing w:after="120"/>
              <w:ind w:left="714" w:hanging="357"/>
            </w:pPr>
            <w:hyperlink r:id="rId18" w:history="1">
              <w:r w:rsidR="00811EDF" w:rsidRPr="00811EDF">
                <w:t>https://www.lyon.fr/sites/lyonfr/files/content/documents/2023-09/pacte-climat-lyon-2030-bdef.pdf</w:t>
              </w:r>
            </w:hyperlink>
          </w:p>
          <w:p w14:paraId="0D0A5AC4" w14:textId="77777777" w:rsidR="00AD5838" w:rsidRPr="00E0674E" w:rsidRDefault="00AD5838">
            <w:pPr>
              <w:pStyle w:val="Default"/>
              <w:ind w:left="284" w:hanging="284"/>
              <w:jc w:val="both"/>
              <w:rPr>
                <w:sz w:val="20"/>
                <w:szCs w:val="20"/>
              </w:rPr>
            </w:pPr>
          </w:p>
        </w:tc>
      </w:tr>
    </w:tbl>
    <w:p w14:paraId="3E078BE5" w14:textId="77777777" w:rsidR="00AD5838" w:rsidRDefault="00AD5838">
      <w:pPr>
        <w:pStyle w:val="Standard"/>
      </w:pPr>
    </w:p>
    <w:sectPr w:rsidR="00AD5838">
      <w:headerReference w:type="default" r:id="rId19"/>
      <w:pgSz w:w="11906" w:h="16838"/>
      <w:pgMar w:top="1417" w:right="1417" w:bottom="1417" w:left="1417" w:header="284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8D397" w14:textId="77777777" w:rsidR="00EE2C9C" w:rsidRDefault="00EE2C9C">
      <w:pPr>
        <w:spacing w:after="0" w:line="240" w:lineRule="auto"/>
      </w:pPr>
      <w:r>
        <w:separator/>
      </w:r>
    </w:p>
  </w:endnote>
  <w:endnote w:type="continuationSeparator" w:id="0">
    <w:p w14:paraId="7FB67A2F" w14:textId="77777777" w:rsidR="00EE2C9C" w:rsidRDefault="00EE2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6057D" w14:textId="77777777" w:rsidR="00EE2C9C" w:rsidRDefault="00EE2C9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14389F" w14:textId="77777777" w:rsidR="00EE2C9C" w:rsidRDefault="00EE2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ECA88" w14:textId="738809E4" w:rsidR="004857EC" w:rsidRDefault="00EE2C9C">
    <w:pPr>
      <w:pStyle w:val="En-tte"/>
      <w:ind w:left="-993"/>
    </w:pPr>
    <w:bookmarkStart w:id="0" w:name="Bookmark"/>
    <w:r>
      <w:rPr>
        <w:noProof/>
      </w:rPr>
      <w:drawing>
        <wp:inline distT="0" distB="0" distL="0" distR="0" wp14:anchorId="382E2AEB" wp14:editId="5E314C51">
          <wp:extent cx="1139040" cy="691559"/>
          <wp:effectExtent l="0" t="0" r="3960" b="0"/>
          <wp:docPr id="1483196604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t="11498" b="24426"/>
                  <a:stretch>
                    <a:fillRect/>
                  </a:stretch>
                </pic:blipFill>
                <pic:spPr>
                  <a:xfrm>
                    <a:off x="0" y="0"/>
                    <a:ext cx="1139040" cy="691559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b/>
        <w:bCs/>
      </w:rPr>
      <w:t xml:space="preserve">L3 Aménagement, </w:t>
    </w:r>
    <w:r>
      <w:rPr>
        <w:b/>
        <w:bCs/>
      </w:rPr>
      <w:t>majeure</w:t>
    </w:r>
    <w:r w:rsidR="00121E81">
      <w:rPr>
        <w:b/>
        <w:bCs/>
      </w:rPr>
      <w:t xml:space="preserve"> aménagement,</w:t>
    </w:r>
    <w:r w:rsidR="00811EDF">
      <w:rPr>
        <w:b/>
        <w:bCs/>
      </w:rPr>
      <w:t xml:space="preserve"> </w:t>
    </w:r>
    <w:r>
      <w:rPr>
        <w:b/>
        <w:bCs/>
      </w:rPr>
      <w:t>semestre 6</w:t>
    </w:r>
  </w:p>
  <w:bookmarkEnd w:id="0"/>
  <w:p w14:paraId="268CA44A" w14:textId="77777777" w:rsidR="004857EC" w:rsidRDefault="004857E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97891"/>
    <w:multiLevelType w:val="multilevel"/>
    <w:tmpl w:val="60760FE0"/>
    <w:styleLink w:val="WWNum2"/>
    <w:lvl w:ilvl="0">
      <w:numFmt w:val="bullet"/>
      <w:lvlText w:val="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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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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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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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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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0BE6C00"/>
    <w:multiLevelType w:val="multilevel"/>
    <w:tmpl w:val="23946B76"/>
    <w:styleLink w:val="WWNum1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9A46F3E"/>
    <w:multiLevelType w:val="multilevel"/>
    <w:tmpl w:val="CA0A8AD6"/>
    <w:styleLink w:val="WWNum11"/>
    <w:lvl w:ilvl="0">
      <w:start w:val="3"/>
      <w:numFmt w:val="upperRoman"/>
      <w:lvlText w:val="%1-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2A721368"/>
    <w:multiLevelType w:val="multilevel"/>
    <w:tmpl w:val="7368EAC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2C1B4B5E"/>
    <w:multiLevelType w:val="multilevel"/>
    <w:tmpl w:val="44AAA02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339C2C06"/>
    <w:multiLevelType w:val="multilevel"/>
    <w:tmpl w:val="15060F1E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384E34D6"/>
    <w:multiLevelType w:val="hybridMultilevel"/>
    <w:tmpl w:val="659A2992"/>
    <w:lvl w:ilvl="0" w:tplc="4CC4876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C9225E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C2607A2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F661E8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FE26E5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5D208D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0A8F97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6A030F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3588CF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3B817835"/>
    <w:multiLevelType w:val="multilevel"/>
    <w:tmpl w:val="929017E4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4A071FD5"/>
    <w:multiLevelType w:val="multilevel"/>
    <w:tmpl w:val="A9EAE5DC"/>
    <w:styleLink w:val="WWNum12"/>
    <w:lvl w:ilvl="0">
      <w:start w:val="3"/>
      <w:numFmt w:val="upperRoman"/>
      <w:lvlText w:val="%1-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9" w15:restartNumberingAfterBreak="0">
    <w:nsid w:val="4B2D3D64"/>
    <w:multiLevelType w:val="multilevel"/>
    <w:tmpl w:val="C5DC02B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4F262BB6"/>
    <w:multiLevelType w:val="multilevel"/>
    <w:tmpl w:val="49C6C3F6"/>
    <w:styleLink w:val="WWNum4"/>
    <w:lvl w:ilvl="0">
      <w:numFmt w:val="bullet"/>
      <w:lvlText w:val="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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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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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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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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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4FAE1C5D"/>
    <w:multiLevelType w:val="multilevel"/>
    <w:tmpl w:val="C8B0B196"/>
    <w:styleLink w:val="WWNum9"/>
    <w:lvl w:ilvl="0">
      <w:start w:val="1"/>
      <w:numFmt w:val="upperRoman"/>
      <w:lvlText w:val="%1-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582C5208"/>
    <w:multiLevelType w:val="hybridMultilevel"/>
    <w:tmpl w:val="9CAC0CB4"/>
    <w:lvl w:ilvl="0" w:tplc="975E848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BC8E11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272DA1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CE2B066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A56224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BEE38D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736CF4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442B89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18B85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5B2021BA"/>
    <w:multiLevelType w:val="multilevel"/>
    <w:tmpl w:val="4398ADC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6AD947E9"/>
    <w:multiLevelType w:val="multilevel"/>
    <w:tmpl w:val="FE7ECD70"/>
    <w:styleLink w:val="WWNum10"/>
    <w:lvl w:ilvl="0">
      <w:start w:val="1"/>
      <w:numFmt w:val="upperRoman"/>
      <w:lvlText w:val="%1-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5" w15:restartNumberingAfterBreak="0">
    <w:nsid w:val="6DEC3D4E"/>
    <w:multiLevelType w:val="multilevel"/>
    <w:tmpl w:val="37DE9DA4"/>
    <w:styleLink w:val="WWNum1"/>
    <w:lvl w:ilvl="0">
      <w:numFmt w:val="bullet"/>
      <w:lvlText w:val="➔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73C06523"/>
    <w:multiLevelType w:val="multilevel"/>
    <w:tmpl w:val="524C83C0"/>
    <w:styleLink w:val="WWNum13"/>
    <w:lvl w:ilvl="0">
      <w:start w:val="1"/>
      <w:numFmt w:val="upperLetter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7" w15:restartNumberingAfterBreak="0">
    <w:nsid w:val="74F94E38"/>
    <w:multiLevelType w:val="multilevel"/>
    <w:tmpl w:val="FDA4FF06"/>
    <w:lvl w:ilvl="0">
      <w:start w:val="1"/>
      <w:numFmt w:val="decimal"/>
      <w:lvlText w:val="(%1)"/>
      <w:lvlJc w:val="left"/>
      <w:pPr>
        <w:ind w:left="720" w:hanging="360"/>
      </w:pPr>
    </w:lvl>
    <w:lvl w:ilvl="1">
      <w:numFmt w:val="bullet"/>
      <w:lvlText w:val="➔"/>
      <w:lvlJc w:val="left"/>
      <w:pPr>
        <w:ind w:left="1080" w:hanging="360"/>
      </w:pPr>
      <w:rPr>
        <w:rFonts w:ascii="StarSymbol" w:hAnsi="StarSymbo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76C5458A"/>
    <w:multiLevelType w:val="multilevel"/>
    <w:tmpl w:val="04545ECC"/>
    <w:styleLink w:val="WWNum3"/>
    <w:lvl w:ilvl="0">
      <w:numFmt w:val="bullet"/>
      <w:lvlText w:val="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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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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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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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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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78DB4E9F"/>
    <w:multiLevelType w:val="multilevel"/>
    <w:tmpl w:val="E012BA92"/>
    <w:styleLink w:val="WWNum1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7E781C55"/>
    <w:multiLevelType w:val="multilevel"/>
    <w:tmpl w:val="35F216FA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15"/>
  </w:num>
  <w:num w:numId="2">
    <w:abstractNumId w:val="0"/>
  </w:num>
  <w:num w:numId="3">
    <w:abstractNumId w:val="18"/>
  </w:num>
  <w:num w:numId="4">
    <w:abstractNumId w:val="10"/>
  </w:num>
  <w:num w:numId="5">
    <w:abstractNumId w:val="20"/>
  </w:num>
  <w:num w:numId="6">
    <w:abstractNumId w:val="13"/>
  </w:num>
  <w:num w:numId="7">
    <w:abstractNumId w:val="7"/>
  </w:num>
  <w:num w:numId="8">
    <w:abstractNumId w:val="5"/>
  </w:num>
  <w:num w:numId="9">
    <w:abstractNumId w:val="11"/>
  </w:num>
  <w:num w:numId="10">
    <w:abstractNumId w:val="14"/>
  </w:num>
  <w:num w:numId="11">
    <w:abstractNumId w:val="2"/>
  </w:num>
  <w:num w:numId="12">
    <w:abstractNumId w:val="8"/>
  </w:num>
  <w:num w:numId="13">
    <w:abstractNumId w:val="16"/>
  </w:num>
  <w:num w:numId="14">
    <w:abstractNumId w:val="1"/>
  </w:num>
  <w:num w:numId="15">
    <w:abstractNumId w:val="19"/>
  </w:num>
  <w:num w:numId="16">
    <w:abstractNumId w:val="17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838"/>
    <w:rsid w:val="00056E74"/>
    <w:rsid w:val="000A385A"/>
    <w:rsid w:val="00121E81"/>
    <w:rsid w:val="0014780E"/>
    <w:rsid w:val="004857EC"/>
    <w:rsid w:val="00736AB5"/>
    <w:rsid w:val="00811EDF"/>
    <w:rsid w:val="00813E83"/>
    <w:rsid w:val="009616F0"/>
    <w:rsid w:val="00AD5838"/>
    <w:rsid w:val="00BA1BA4"/>
    <w:rsid w:val="00E0674E"/>
    <w:rsid w:val="00EE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B255"/>
  <w15:docId w15:val="{78B8A68D-5F6B-445A-81A2-F07A1C215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fr-FR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Lucida Sans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Paragraphedeliste">
    <w:name w:val="List Paragraph"/>
    <w:basedOn w:val="Standard"/>
    <w:pPr>
      <w:ind w:left="720"/>
    </w:pPr>
  </w:style>
  <w:style w:type="paragraph" w:styleId="En-tte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pPr>
      <w:widowControl/>
      <w:spacing w:after="0" w:line="240" w:lineRule="auto"/>
    </w:pPr>
    <w:rPr>
      <w:color w:val="000000"/>
      <w:sz w:val="24"/>
      <w:szCs w:val="24"/>
    </w:rPr>
  </w:style>
  <w:style w:type="paragraph" w:customStyle="1" w:styleId="noir">
    <w:name w:val="noir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Bibliographie">
    <w:name w:val="Bibliography"/>
    <w:basedOn w:val="Standard"/>
  </w:style>
  <w:style w:type="character" w:customStyle="1" w:styleId="En-tteCar">
    <w:name w:val="En-tête Car"/>
    <w:basedOn w:val="Policepardfaut"/>
    <w:rPr>
      <w:kern w:val="3"/>
    </w:rPr>
  </w:style>
  <w:style w:type="character" w:customStyle="1" w:styleId="PieddepageCar">
    <w:name w:val="Pied de page Car"/>
    <w:basedOn w:val="Policepardfaut"/>
    <w:rPr>
      <w:kern w:val="3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pipsurligne">
    <w:name w:val="spip_surligne"/>
    <w:basedOn w:val="Policepardfaut"/>
  </w:style>
  <w:style w:type="character" w:customStyle="1" w:styleId="boldblue">
    <w:name w:val="boldblue"/>
    <w:basedOn w:val="Policepardfaut"/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sz w:val="2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  <w:style w:type="numbering" w:customStyle="1" w:styleId="WWNum3">
    <w:name w:val="WWNum3"/>
    <w:basedOn w:val="Aucuneliste"/>
    <w:pPr>
      <w:numPr>
        <w:numId w:val="3"/>
      </w:numPr>
    </w:pPr>
  </w:style>
  <w:style w:type="numbering" w:customStyle="1" w:styleId="WWNum4">
    <w:name w:val="WWNum4"/>
    <w:basedOn w:val="Aucuneliste"/>
    <w:pPr>
      <w:numPr>
        <w:numId w:val="4"/>
      </w:numPr>
    </w:pPr>
  </w:style>
  <w:style w:type="numbering" w:customStyle="1" w:styleId="WWNum5">
    <w:name w:val="WWNum5"/>
    <w:basedOn w:val="Aucuneliste"/>
    <w:pPr>
      <w:numPr>
        <w:numId w:val="5"/>
      </w:numPr>
    </w:pPr>
  </w:style>
  <w:style w:type="numbering" w:customStyle="1" w:styleId="WWNum6">
    <w:name w:val="WWNum6"/>
    <w:basedOn w:val="Aucuneliste"/>
    <w:pPr>
      <w:numPr>
        <w:numId w:val="6"/>
      </w:numPr>
    </w:pPr>
  </w:style>
  <w:style w:type="numbering" w:customStyle="1" w:styleId="WWNum7">
    <w:name w:val="WWNum7"/>
    <w:basedOn w:val="Aucuneliste"/>
    <w:pPr>
      <w:numPr>
        <w:numId w:val="7"/>
      </w:numPr>
    </w:pPr>
  </w:style>
  <w:style w:type="numbering" w:customStyle="1" w:styleId="WWNum8">
    <w:name w:val="WWNum8"/>
    <w:basedOn w:val="Aucuneliste"/>
    <w:pPr>
      <w:numPr>
        <w:numId w:val="8"/>
      </w:numPr>
    </w:pPr>
  </w:style>
  <w:style w:type="numbering" w:customStyle="1" w:styleId="WWNum9">
    <w:name w:val="WWNum9"/>
    <w:basedOn w:val="Aucuneliste"/>
    <w:pPr>
      <w:numPr>
        <w:numId w:val="9"/>
      </w:numPr>
    </w:pPr>
  </w:style>
  <w:style w:type="numbering" w:customStyle="1" w:styleId="WWNum10">
    <w:name w:val="WWNum10"/>
    <w:basedOn w:val="Aucuneliste"/>
    <w:pPr>
      <w:numPr>
        <w:numId w:val="10"/>
      </w:numPr>
    </w:pPr>
  </w:style>
  <w:style w:type="numbering" w:customStyle="1" w:styleId="WWNum11">
    <w:name w:val="WWNum11"/>
    <w:basedOn w:val="Aucuneliste"/>
    <w:pPr>
      <w:numPr>
        <w:numId w:val="11"/>
      </w:numPr>
    </w:pPr>
  </w:style>
  <w:style w:type="numbering" w:customStyle="1" w:styleId="WWNum12">
    <w:name w:val="WWNum12"/>
    <w:basedOn w:val="Aucuneliste"/>
    <w:pPr>
      <w:numPr>
        <w:numId w:val="12"/>
      </w:numPr>
    </w:pPr>
  </w:style>
  <w:style w:type="numbering" w:customStyle="1" w:styleId="WWNum13">
    <w:name w:val="WWNum13"/>
    <w:basedOn w:val="Aucuneliste"/>
    <w:pPr>
      <w:numPr>
        <w:numId w:val="13"/>
      </w:numPr>
    </w:pPr>
  </w:style>
  <w:style w:type="numbering" w:customStyle="1" w:styleId="WWNum14">
    <w:name w:val="WWNum14"/>
    <w:basedOn w:val="Aucuneliste"/>
    <w:pPr>
      <w:numPr>
        <w:numId w:val="14"/>
      </w:numPr>
    </w:pPr>
  </w:style>
  <w:style w:type="numbering" w:customStyle="1" w:styleId="WWNum15">
    <w:name w:val="WWNum15"/>
    <w:basedOn w:val="Aucuneliste"/>
    <w:pPr>
      <w:numPr>
        <w:numId w:val="15"/>
      </w:numPr>
    </w:pPr>
  </w:style>
  <w:style w:type="character" w:styleId="Lienhypertexte">
    <w:name w:val="Hyperlink"/>
    <w:basedOn w:val="Policepardfaut"/>
    <w:uiPriority w:val="99"/>
    <w:unhideWhenUsed/>
    <w:rsid w:val="00056E74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56E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10517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7288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1092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5436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4696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3307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7280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115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9498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6004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26877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7938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4321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3561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2440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09286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456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2968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9346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0956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0110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182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695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2817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2359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5410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4177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917/flux1.116.0001" TargetMode="External"/><Relationship Id="rId13" Type="http://schemas.openxmlformats.org/officeDocument/2006/relationships/hyperlink" Target="https://doi.org/10.4000/developpementdurable.17046" TargetMode="External"/><Relationship Id="rId18" Type="http://schemas.openxmlformats.org/officeDocument/2006/relationships/hyperlink" Target="https://www.lyon.fr/sites/lyonfr/files/content/documents/2023-09/pacte-climat-lyon-2030-bdef.pd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oree.org/_script/ntsp-document-file_download.php?document_file_id=3792" TargetMode="External"/><Relationship Id="rId17" Type="http://schemas.openxmlformats.org/officeDocument/2006/relationships/hyperlink" Target="https://www.youtube.com/watch?v=CUTdUr0IS48&amp;list=PLk9FoGFwqfo-2zwg7NfYVwfaKP58vO9-Y&amp;index=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playlist?list=PLk9FoGFwqfo-2zwg7NfYVwfaKP58vO9-Y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3917/reru.175.090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yon.fr/actions-et-projets/lyon-2030/lagora-et-le-pacte-climat-lyon-2030" TargetMode="External"/><Relationship Id="rId10" Type="http://schemas.openxmlformats.org/officeDocument/2006/relationships/hyperlink" Target="https://doi.org/10.4000/developpementdurable.10134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x.doi.org/10.1051/futur:200531327" TargetMode="External"/><Relationship Id="rId14" Type="http://schemas.openxmlformats.org/officeDocument/2006/relationships/hyperlink" Target="https://www.lyon.fr/actions-et-projets/lyon-2030/quest-ce-que-lyon-203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820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Bourdeau-Lepage</dc:creator>
  <cp:lastModifiedBy>AMAROUCHE Maryame</cp:lastModifiedBy>
  <cp:revision>3</cp:revision>
  <dcterms:created xsi:type="dcterms:W3CDTF">2025-02-12T18:44:00Z</dcterms:created>
  <dcterms:modified xsi:type="dcterms:W3CDTF">2025-02-19T18:35:00Z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